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339" w:rsidRDefault="00C76339" w:rsidP="001E71E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УДК 623.4.018</w:t>
      </w:r>
    </w:p>
    <w:p w:rsidR="0019306B" w:rsidRDefault="0019306B" w:rsidP="003A322A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p w:rsidR="00F844E4" w:rsidRPr="00C2015B" w:rsidRDefault="00F844E4" w:rsidP="001E71E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8"/>
        </w:rPr>
      </w:pPr>
      <w:r w:rsidRPr="00C2015B">
        <w:rPr>
          <w:rFonts w:ascii="Times New Roman" w:hAnsi="Times New Roman" w:cs="Times New Roman"/>
          <w:b/>
          <w:sz w:val="18"/>
        </w:rPr>
        <w:t>ЗАЩИЩЕННОСТЬ СПЕЦИАЛЬНЫХ МАШИН ОТ ПОРАЖАЮЩИХ ФАКТОРОВ</w:t>
      </w:r>
    </w:p>
    <w:p w:rsidR="00F844E4" w:rsidRPr="00C2015B" w:rsidRDefault="00F844E4" w:rsidP="003A322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</w:rPr>
      </w:pPr>
      <w:r w:rsidRPr="00C2015B">
        <w:rPr>
          <w:rFonts w:ascii="Times New Roman" w:hAnsi="Times New Roman" w:cs="Times New Roman"/>
          <w:b/>
          <w:sz w:val="18"/>
        </w:rPr>
        <w:t>Е.А.Андреева</w:t>
      </w:r>
      <w:r w:rsidR="0019306B">
        <w:rPr>
          <w:rFonts w:ascii="Times New Roman" w:hAnsi="Times New Roman" w:cs="Times New Roman"/>
          <w:b/>
          <w:sz w:val="18"/>
        </w:rPr>
        <w:t xml:space="preserve"> и Г.Е. Левченко</w:t>
      </w:r>
    </w:p>
    <w:p w:rsidR="00F844E4" w:rsidRDefault="00F844E4" w:rsidP="003A322A">
      <w:pPr>
        <w:spacing w:after="0" w:line="240" w:lineRule="auto"/>
        <w:jc w:val="center"/>
        <w:rPr>
          <w:rFonts w:ascii="Times New Roman" w:hAnsi="Times New Roman" w:cs="Times New Roman"/>
          <w:i/>
          <w:sz w:val="18"/>
        </w:rPr>
      </w:pPr>
      <w:r w:rsidRPr="00C2015B">
        <w:rPr>
          <w:rFonts w:ascii="Times New Roman" w:hAnsi="Times New Roman" w:cs="Times New Roman"/>
          <w:i/>
          <w:sz w:val="18"/>
        </w:rPr>
        <w:t>Балтийский государственный технический университет «ВОЕНМЕХ»</w:t>
      </w:r>
      <w:r w:rsidR="003A322A">
        <w:rPr>
          <w:rFonts w:ascii="Times New Roman" w:hAnsi="Times New Roman" w:cs="Times New Roman"/>
          <w:i/>
          <w:sz w:val="18"/>
        </w:rPr>
        <w:t xml:space="preserve"> им</w:t>
      </w:r>
      <w:r w:rsidR="0019306B" w:rsidRPr="0019306B">
        <w:rPr>
          <w:rFonts w:ascii="Times New Roman" w:hAnsi="Times New Roman" w:cs="Times New Roman"/>
          <w:i/>
          <w:sz w:val="18"/>
        </w:rPr>
        <w:t>.</w:t>
      </w:r>
      <w:r w:rsidRPr="00C2015B">
        <w:rPr>
          <w:rFonts w:ascii="Times New Roman" w:hAnsi="Times New Roman" w:cs="Times New Roman"/>
          <w:i/>
          <w:sz w:val="18"/>
        </w:rPr>
        <w:t>Д.Ф.Устинова</w:t>
      </w:r>
    </w:p>
    <w:p w:rsidR="003A322A" w:rsidRPr="00C2015B" w:rsidRDefault="003A322A" w:rsidP="003A322A">
      <w:pPr>
        <w:spacing w:after="0" w:line="240" w:lineRule="auto"/>
        <w:jc w:val="center"/>
        <w:rPr>
          <w:rFonts w:ascii="Times New Roman" w:hAnsi="Times New Roman" w:cs="Times New Roman"/>
          <w:i/>
          <w:sz w:val="18"/>
        </w:rPr>
      </w:pPr>
    </w:p>
    <w:p w:rsidR="00A37FE1" w:rsidRDefault="009B3BA2" w:rsidP="00A37F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9B3BA2">
        <w:rPr>
          <w:rFonts w:ascii="Times New Roman" w:hAnsi="Times New Roman" w:cs="Times New Roman"/>
          <w:sz w:val="18"/>
          <w:szCs w:val="18"/>
        </w:rPr>
        <w:t xml:space="preserve">В настоящее время специальная автомобильная техника является основой обеспечения тактической и оперативной подвижности подразделений и частей сухопутных войск. </w:t>
      </w:r>
      <w:r>
        <w:rPr>
          <w:rFonts w:ascii="Times New Roman" w:hAnsi="Times New Roman" w:cs="Times New Roman"/>
          <w:sz w:val="18"/>
          <w:szCs w:val="18"/>
        </w:rPr>
        <w:t xml:space="preserve">Опыт применения автомобильной техники в современных военных конфликтах показывает востребованность и высокую эффективность использования защищенных автомобилей, как в боевых условиях, так и для обеспечения жизнедеятельности войск. </w:t>
      </w:r>
      <w:r w:rsidR="00A37FE1">
        <w:rPr>
          <w:rFonts w:ascii="Times New Roman" w:hAnsi="Times New Roman" w:cs="Times New Roman"/>
          <w:sz w:val="18"/>
          <w:szCs w:val="18"/>
        </w:rPr>
        <w:t xml:space="preserve">Они широко применяются в качестве машин разведки и управления войсками, средств подвижности вооружения и военной техники, для перевозки личного состава и воинских грузов, сопровождения военных колонн и патрулирования в зоне конфликтов и в ряде других мероприятий. </w:t>
      </w:r>
    </w:p>
    <w:p w:rsidR="00A37FE1" w:rsidRDefault="001E71E4" w:rsidP="001E71E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Стремительное развитие средств вооружения и, соответственно, борьбы со спецтехникой сделало её живучесть важнейшим условием выполнения боевых задач. </w:t>
      </w:r>
      <w:r w:rsidR="00A37FE1">
        <w:rPr>
          <w:rFonts w:ascii="Times New Roman" w:hAnsi="Times New Roman" w:cs="Times New Roman"/>
          <w:sz w:val="18"/>
          <w:szCs w:val="18"/>
        </w:rPr>
        <w:t>Основные требования, предъявляемые к военной технике, могут меняться в зависимости от характера боевых действий («позиционная» или «маневренная» война, локальные конфликты или контртеррористические о</w:t>
      </w:r>
      <w:r w:rsidR="00A813AB">
        <w:rPr>
          <w:rFonts w:ascii="Times New Roman" w:hAnsi="Times New Roman" w:cs="Times New Roman"/>
          <w:sz w:val="18"/>
          <w:szCs w:val="18"/>
        </w:rPr>
        <w:t>перации). Классическое сочетание</w:t>
      </w:r>
      <w:r w:rsidR="00A37FE1">
        <w:rPr>
          <w:rFonts w:ascii="Times New Roman" w:hAnsi="Times New Roman" w:cs="Times New Roman"/>
          <w:sz w:val="18"/>
          <w:szCs w:val="18"/>
        </w:rPr>
        <w:t xml:space="preserve"> требований «огневая мощь, подвижность, защищенность» может дополняться новыми требованиями, однак</w:t>
      </w:r>
      <w:bookmarkStart w:id="0" w:name="_GoBack"/>
      <w:bookmarkEnd w:id="0"/>
      <w:r w:rsidR="00A37FE1">
        <w:rPr>
          <w:rFonts w:ascii="Times New Roman" w:hAnsi="Times New Roman" w:cs="Times New Roman"/>
          <w:sz w:val="18"/>
          <w:szCs w:val="18"/>
        </w:rPr>
        <w:t>о именно защищенности отдается приоритет.</w:t>
      </w:r>
      <w:r w:rsidR="00814C04">
        <w:rPr>
          <w:rFonts w:ascii="Times New Roman" w:hAnsi="Times New Roman" w:cs="Times New Roman"/>
          <w:sz w:val="18"/>
          <w:szCs w:val="18"/>
        </w:rPr>
        <w:t xml:space="preserve"> Защищенность характеризует защиту экипажа и систем автомобиля от средств поражения противника.</w:t>
      </w:r>
    </w:p>
    <w:p w:rsidR="00DE7B27" w:rsidRDefault="00A813AB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Кратковременные динамические нагрузки</w:t>
      </w:r>
      <w:r w:rsidR="00E42943">
        <w:rPr>
          <w:rFonts w:ascii="Times New Roman" w:hAnsi="Times New Roman" w:cs="Times New Roman"/>
          <w:sz w:val="18"/>
          <w:szCs w:val="18"/>
        </w:rPr>
        <w:t>, которые и являются аварийными для конструкции,</w:t>
      </w:r>
      <w:r w:rsidR="00A114BA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во многих случаях возникают в результате действия на конструкцию взрывных волн, распространя</w:t>
      </w:r>
      <w:r w:rsidR="00E42943">
        <w:rPr>
          <w:rFonts w:ascii="Times New Roman" w:hAnsi="Times New Roman" w:cs="Times New Roman"/>
          <w:sz w:val="18"/>
          <w:szCs w:val="18"/>
        </w:rPr>
        <w:t>ющихся в воздухе, грунте, воде.</w:t>
      </w:r>
    </w:p>
    <w:p w:rsidR="00A813AB" w:rsidRDefault="00E42943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Взрывом называется процесс быстрого выделения большого количества энергии, вызванный внезапным изменением состояния вещества или его параметров </w:t>
      </w:r>
      <w:r w:rsidRPr="00E42943">
        <w:rPr>
          <w:rFonts w:ascii="Times New Roman" w:hAnsi="Times New Roman" w:cs="Times New Roman"/>
          <w:sz w:val="18"/>
          <w:szCs w:val="18"/>
        </w:rPr>
        <w:t>[</w:t>
      </w:r>
      <w:r>
        <w:rPr>
          <w:rFonts w:ascii="Times New Roman" w:hAnsi="Times New Roman" w:cs="Times New Roman"/>
          <w:sz w:val="18"/>
          <w:szCs w:val="18"/>
        </w:rPr>
        <w:t>1</w:t>
      </w:r>
      <w:r w:rsidRPr="00E42943">
        <w:rPr>
          <w:rFonts w:ascii="Times New Roman" w:hAnsi="Times New Roman" w:cs="Times New Roman"/>
          <w:sz w:val="18"/>
          <w:szCs w:val="18"/>
        </w:rPr>
        <w:t>]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 w:rsidR="004D6AAA">
        <w:rPr>
          <w:rFonts w:ascii="Times New Roman" w:hAnsi="Times New Roman" w:cs="Times New Roman"/>
          <w:sz w:val="18"/>
          <w:szCs w:val="18"/>
        </w:rPr>
        <w:t xml:space="preserve">Изменение состояния вещества обычно возникает в результате быстропротекающей химической (взрывчатые вещества, </w:t>
      </w:r>
      <w:proofErr w:type="spellStart"/>
      <w:r w:rsidR="004D6AAA">
        <w:rPr>
          <w:rFonts w:ascii="Times New Roman" w:hAnsi="Times New Roman" w:cs="Times New Roman"/>
          <w:sz w:val="18"/>
          <w:szCs w:val="18"/>
        </w:rPr>
        <w:t>газо</w:t>
      </w:r>
      <w:proofErr w:type="spellEnd"/>
      <w:r w:rsidR="004D6AAA">
        <w:rPr>
          <w:rFonts w:ascii="Times New Roman" w:hAnsi="Times New Roman" w:cs="Times New Roman"/>
          <w:sz w:val="18"/>
          <w:szCs w:val="18"/>
        </w:rPr>
        <w:t xml:space="preserve">- или пылевоздушные смеси) или ядерной реакции. </w:t>
      </w:r>
      <w:r w:rsidR="00A114BA">
        <w:rPr>
          <w:rFonts w:ascii="Times New Roman" w:hAnsi="Times New Roman" w:cs="Times New Roman"/>
          <w:sz w:val="18"/>
          <w:szCs w:val="18"/>
        </w:rPr>
        <w:t>Результатом взрыва являются распространяющиеся в пространстве воздушные ударные волны</w:t>
      </w:r>
      <w:r w:rsidR="004D6AAA">
        <w:rPr>
          <w:rFonts w:ascii="Times New Roman" w:hAnsi="Times New Roman" w:cs="Times New Roman"/>
          <w:sz w:val="18"/>
          <w:szCs w:val="18"/>
        </w:rPr>
        <w:t xml:space="preserve"> </w:t>
      </w:r>
      <w:r w:rsidR="00A114BA">
        <w:rPr>
          <w:rFonts w:ascii="Times New Roman" w:hAnsi="Times New Roman" w:cs="Times New Roman"/>
          <w:sz w:val="18"/>
          <w:szCs w:val="18"/>
        </w:rPr>
        <w:t>и волны сжатия в грунте, взаимодействующие с препятствиями, зданиями и сооружениями.</w:t>
      </w:r>
      <w:r w:rsidR="00AB2979">
        <w:rPr>
          <w:rFonts w:ascii="Times New Roman" w:hAnsi="Times New Roman" w:cs="Times New Roman"/>
          <w:sz w:val="18"/>
          <w:szCs w:val="18"/>
        </w:rPr>
        <w:t xml:space="preserve"> </w:t>
      </w:r>
      <w:r w:rsidR="00A813AB">
        <w:rPr>
          <w:rFonts w:ascii="Times New Roman" w:hAnsi="Times New Roman" w:cs="Times New Roman"/>
          <w:sz w:val="18"/>
          <w:szCs w:val="18"/>
        </w:rPr>
        <w:t>Взрывные нагрузки характеризуются законом изменения давления во времени. При этом их основными параметрами являются максимальное давление, время его нарастания и продолжительность действия нагрузки</w:t>
      </w:r>
      <w:r w:rsidR="004D6AAA" w:rsidRPr="004D6AAA">
        <w:rPr>
          <w:rFonts w:ascii="Times New Roman" w:hAnsi="Times New Roman" w:cs="Times New Roman"/>
          <w:sz w:val="18"/>
          <w:szCs w:val="18"/>
        </w:rPr>
        <w:t xml:space="preserve"> [2]</w:t>
      </w:r>
      <w:r w:rsidR="00A813AB">
        <w:rPr>
          <w:rFonts w:ascii="Times New Roman" w:hAnsi="Times New Roman" w:cs="Times New Roman"/>
          <w:sz w:val="18"/>
          <w:szCs w:val="18"/>
        </w:rPr>
        <w:t>.</w:t>
      </w:r>
    </w:p>
    <w:p w:rsidR="00E27FEA" w:rsidRDefault="00834F40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Численное моделирование распространения ударной волны позволяет ещё на этапе проектирования оценить взрывное воздействие на конструкцию и предопределить масштаб разрушений.</w:t>
      </w:r>
      <w:r w:rsidR="00E27FEA">
        <w:rPr>
          <w:rFonts w:ascii="Times New Roman" w:hAnsi="Times New Roman" w:cs="Times New Roman"/>
          <w:sz w:val="18"/>
          <w:szCs w:val="18"/>
        </w:rPr>
        <w:t xml:space="preserve"> Расчетный анализ любой конструкции начинается с попытки установить, что в рассматриваемом случае является существенным, а чем можно пренебречь. Учитывая лишь немногие важнейшие эффекты и получив наиболее простую модель, необходимо найти разумный компромисс между требованиями к полноте и точности модели и располагаемыми вычислительными мощностями.</w:t>
      </w:r>
    </w:p>
    <w:p w:rsidR="00AB2979" w:rsidRDefault="004F0475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Цель исследования – провести анализ давления на боковую поверхность </w:t>
      </w:r>
      <w:proofErr w:type="spellStart"/>
      <w:r>
        <w:rPr>
          <w:rFonts w:ascii="Times New Roman" w:hAnsi="Times New Roman" w:cs="Times New Roman"/>
          <w:sz w:val="18"/>
          <w:szCs w:val="18"/>
        </w:rPr>
        <w:t>спецавтомобиля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с  кузовом-контейнером различной конфигурации при взаимодействии с ударной волной. </w:t>
      </w:r>
    </w:p>
    <w:p w:rsidR="004F0475" w:rsidRDefault="004F0475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 качестве иллюстративного материала были смоделированы упрощенные модели </w:t>
      </w:r>
      <w:proofErr w:type="spellStart"/>
      <w:r>
        <w:rPr>
          <w:rFonts w:ascii="Times New Roman" w:hAnsi="Times New Roman" w:cs="Times New Roman"/>
          <w:sz w:val="18"/>
          <w:szCs w:val="18"/>
        </w:rPr>
        <w:t>спецавтомобилей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с различной конфигурацией кузова-контейнера (рис.1)</w:t>
      </w:r>
      <w:r w:rsidR="00AB2979">
        <w:rPr>
          <w:rFonts w:ascii="Times New Roman" w:hAnsi="Times New Roman" w:cs="Times New Roman"/>
          <w:sz w:val="18"/>
          <w:szCs w:val="18"/>
        </w:rPr>
        <w:t>.</w:t>
      </w:r>
    </w:p>
    <w:p w:rsidR="004939E7" w:rsidRDefault="004939E7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  <w:gridCol w:w="4076"/>
      </w:tblGrid>
      <w:tr w:rsidR="00C2341D" w:rsidTr="00EC53A4">
        <w:tc>
          <w:tcPr>
            <w:tcW w:w="4076" w:type="dxa"/>
            <w:vAlign w:val="center"/>
          </w:tcPr>
          <w:p w:rsidR="00814C04" w:rsidRPr="00814C04" w:rsidRDefault="00814C04" w:rsidP="00814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814C04">
              <w:rPr>
                <w:rFonts w:ascii="Times New Roman" w:hAnsi="Times New Roman" w:cs="Times New Roman"/>
                <w:b/>
                <w:sz w:val="16"/>
                <w:szCs w:val="18"/>
              </w:rPr>
              <w:t>а)</w:t>
            </w:r>
          </w:p>
          <w:p w:rsidR="00C2341D" w:rsidRDefault="00C2341D" w:rsidP="00C23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1409440" cy="1362022"/>
                  <wp:effectExtent l="19050" t="0" r="260" b="0"/>
                  <wp:docPr id="1" name="Рисунок 0" descr="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639" cy="1364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center"/>
          </w:tcPr>
          <w:p w:rsidR="00814C04" w:rsidRPr="00814C04" w:rsidRDefault="00814C04" w:rsidP="00814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4C04">
              <w:rPr>
                <w:rFonts w:ascii="Times New Roman" w:hAnsi="Times New Roman" w:cs="Times New Roman"/>
                <w:b/>
                <w:sz w:val="18"/>
                <w:szCs w:val="18"/>
              </w:rPr>
              <w:t>б)</w:t>
            </w:r>
          </w:p>
          <w:p w:rsidR="00C2341D" w:rsidRDefault="00C2341D" w:rsidP="00C23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1530516" cy="1364658"/>
                  <wp:effectExtent l="19050" t="0" r="0" b="0"/>
                  <wp:docPr id="2" name="Рисунок 1" descr="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8433" cy="1371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4623" w:rsidTr="00EC53A4">
        <w:tc>
          <w:tcPr>
            <w:tcW w:w="8152" w:type="dxa"/>
            <w:gridSpan w:val="2"/>
            <w:vAlign w:val="center"/>
          </w:tcPr>
          <w:p w:rsidR="00034623" w:rsidRPr="00DA08C7" w:rsidRDefault="00034623" w:rsidP="00C234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A08C7">
              <w:rPr>
                <w:rFonts w:ascii="Times New Roman" w:hAnsi="Times New Roman" w:cs="Times New Roman"/>
                <w:i/>
                <w:sz w:val="16"/>
                <w:szCs w:val="16"/>
              </w:rPr>
              <w:t>Рисунок 1. Исследуемая модель с конфигураций кузова-контейнера</w:t>
            </w:r>
          </w:p>
          <w:p w:rsidR="00034623" w:rsidRDefault="00034623" w:rsidP="000346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8C7">
              <w:rPr>
                <w:rFonts w:ascii="Times New Roman" w:hAnsi="Times New Roman" w:cs="Times New Roman"/>
                <w:i/>
                <w:sz w:val="16"/>
                <w:szCs w:val="16"/>
              </w:rPr>
              <w:t>а) без скосов, б) со скосами</w:t>
            </w:r>
          </w:p>
        </w:tc>
      </w:tr>
    </w:tbl>
    <w:p w:rsidR="00EC53A4" w:rsidRDefault="00EC53A4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Использовани</w:t>
      </w:r>
      <w:r w:rsidR="00B0732F">
        <w:rPr>
          <w:rFonts w:ascii="Times New Roman" w:hAnsi="Times New Roman" w:cs="Times New Roman"/>
          <w:sz w:val="18"/>
          <w:szCs w:val="18"/>
        </w:rPr>
        <w:t>е</w:t>
      </w:r>
      <w:r>
        <w:rPr>
          <w:rFonts w:ascii="Times New Roman" w:hAnsi="Times New Roman" w:cs="Times New Roman"/>
          <w:sz w:val="18"/>
          <w:szCs w:val="18"/>
        </w:rPr>
        <w:t xml:space="preserve"> для расчета упрощенных моделей позволяет </w:t>
      </w:r>
      <w:r w:rsidR="00EB76CA">
        <w:rPr>
          <w:rFonts w:ascii="Times New Roman" w:hAnsi="Times New Roman" w:cs="Times New Roman"/>
          <w:sz w:val="18"/>
          <w:szCs w:val="18"/>
        </w:rPr>
        <w:t>ощутимо</w:t>
      </w:r>
      <w:r>
        <w:rPr>
          <w:rFonts w:ascii="Times New Roman" w:hAnsi="Times New Roman" w:cs="Times New Roman"/>
          <w:sz w:val="18"/>
          <w:szCs w:val="18"/>
        </w:rPr>
        <w:t xml:space="preserve"> сократить время вычисления</w:t>
      </w:r>
      <w:r w:rsidR="00EB76CA">
        <w:rPr>
          <w:rFonts w:ascii="Times New Roman" w:hAnsi="Times New Roman" w:cs="Times New Roman"/>
          <w:sz w:val="18"/>
          <w:szCs w:val="18"/>
        </w:rPr>
        <w:t xml:space="preserve"> и снизить требования к вычислительным мощностям</w:t>
      </w:r>
      <w:r>
        <w:rPr>
          <w:rFonts w:ascii="Times New Roman" w:hAnsi="Times New Roman" w:cs="Times New Roman"/>
          <w:sz w:val="18"/>
          <w:szCs w:val="18"/>
        </w:rPr>
        <w:t>. Отметим, что упрощение существенно не сказывается на результатах расчета, так как был</w:t>
      </w:r>
      <w:r w:rsidR="00EB76CA">
        <w:rPr>
          <w:rFonts w:ascii="Times New Roman" w:hAnsi="Times New Roman" w:cs="Times New Roman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 xml:space="preserve"> сохранены основные </w:t>
      </w:r>
      <w:r w:rsidR="00EB76CA">
        <w:rPr>
          <w:rFonts w:ascii="Times New Roman" w:hAnsi="Times New Roman" w:cs="Times New Roman"/>
          <w:sz w:val="18"/>
          <w:szCs w:val="18"/>
        </w:rPr>
        <w:t xml:space="preserve">габаритные </w:t>
      </w:r>
      <w:r>
        <w:rPr>
          <w:rFonts w:ascii="Times New Roman" w:hAnsi="Times New Roman" w:cs="Times New Roman"/>
          <w:sz w:val="18"/>
          <w:szCs w:val="18"/>
        </w:rPr>
        <w:t xml:space="preserve">размеры и приведено подобие форм. </w:t>
      </w:r>
    </w:p>
    <w:p w:rsidR="004939E7" w:rsidRDefault="00AB2979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Для двух моделей были проведены идентичные расчеты определения полей давления на поверхности при взаимодействии с ударной волной. </w:t>
      </w:r>
      <w:r w:rsidR="00DC1DCF">
        <w:rPr>
          <w:rFonts w:ascii="Times New Roman" w:hAnsi="Times New Roman" w:cs="Times New Roman"/>
          <w:sz w:val="18"/>
          <w:szCs w:val="18"/>
        </w:rPr>
        <w:t>Интенсивность ударной волны задается в явном виде, п</w:t>
      </w:r>
      <w:r>
        <w:rPr>
          <w:rFonts w:ascii="Times New Roman" w:hAnsi="Times New Roman" w:cs="Times New Roman"/>
          <w:sz w:val="18"/>
          <w:szCs w:val="18"/>
        </w:rPr>
        <w:t xml:space="preserve">ерепад давления во фронте ударной волны равен 1 атм. Для проведения расчета был использован пакет прикладных программ, в котором используется метод конечных объемов </w:t>
      </w:r>
      <w:r w:rsidRPr="00136549">
        <w:rPr>
          <w:rFonts w:ascii="Times New Roman" w:hAnsi="Times New Roman" w:cs="Times New Roman"/>
          <w:sz w:val="18"/>
          <w:szCs w:val="18"/>
        </w:rPr>
        <w:t>[3]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DC1DCF" w:rsidRDefault="005A1F3F" w:rsidP="00DC1DC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Размер </w:t>
      </w:r>
      <w:r w:rsidR="003F1ABC">
        <w:rPr>
          <w:rFonts w:ascii="Times New Roman" w:hAnsi="Times New Roman" w:cs="Times New Roman"/>
          <w:sz w:val="18"/>
          <w:szCs w:val="18"/>
        </w:rPr>
        <w:t>расчетной</w:t>
      </w:r>
      <w:r>
        <w:rPr>
          <w:rFonts w:ascii="Times New Roman" w:hAnsi="Times New Roman" w:cs="Times New Roman"/>
          <w:sz w:val="18"/>
          <w:szCs w:val="18"/>
        </w:rPr>
        <w:t xml:space="preserve"> области 10х20х20</w:t>
      </w:r>
      <w:r w:rsidR="00B0732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м</w:t>
      </w:r>
      <w:r w:rsidR="00136549">
        <w:rPr>
          <w:rFonts w:ascii="Times New Roman" w:hAnsi="Times New Roman" w:cs="Times New Roman"/>
          <w:sz w:val="18"/>
          <w:szCs w:val="18"/>
        </w:rPr>
        <w:t xml:space="preserve"> (рис.2)</w:t>
      </w:r>
      <w:r>
        <w:rPr>
          <w:rFonts w:ascii="Times New Roman" w:hAnsi="Times New Roman" w:cs="Times New Roman"/>
          <w:sz w:val="18"/>
          <w:szCs w:val="18"/>
        </w:rPr>
        <w:t>.</w:t>
      </w:r>
      <w:r w:rsidR="003F1ABC">
        <w:rPr>
          <w:rFonts w:ascii="Times New Roman" w:hAnsi="Times New Roman" w:cs="Times New Roman"/>
          <w:sz w:val="18"/>
          <w:szCs w:val="18"/>
        </w:rPr>
        <w:t xml:space="preserve"> Расчетная область представляет собой тетраэдрическую сетку с пристеночными слоями для моделирования течения вдоль твердых тел (рис.</w:t>
      </w:r>
      <w:r w:rsidR="00136549">
        <w:rPr>
          <w:rFonts w:ascii="Times New Roman" w:hAnsi="Times New Roman" w:cs="Times New Roman"/>
          <w:sz w:val="18"/>
          <w:szCs w:val="18"/>
        </w:rPr>
        <w:t>3</w:t>
      </w:r>
      <w:r w:rsidR="003F1ABC">
        <w:rPr>
          <w:rFonts w:ascii="Times New Roman" w:hAnsi="Times New Roman" w:cs="Times New Roman"/>
          <w:sz w:val="18"/>
          <w:szCs w:val="18"/>
        </w:rPr>
        <w:t xml:space="preserve">). </w:t>
      </w:r>
      <w:r w:rsidR="007D033C">
        <w:rPr>
          <w:rFonts w:ascii="Times New Roman" w:hAnsi="Times New Roman" w:cs="Times New Roman"/>
          <w:sz w:val="18"/>
          <w:szCs w:val="18"/>
        </w:rPr>
        <w:t xml:space="preserve">Граничные условия типа симметрии – </w:t>
      </w:r>
      <w:proofErr w:type="spellStart"/>
      <w:r w:rsidR="007D033C">
        <w:rPr>
          <w:rFonts w:ascii="Times New Roman" w:hAnsi="Times New Roman" w:cs="Times New Roman"/>
          <w:sz w:val="18"/>
          <w:szCs w:val="18"/>
        </w:rPr>
        <w:t>неприлипания</w:t>
      </w:r>
      <w:proofErr w:type="spellEnd"/>
      <w:r w:rsidR="007D033C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="007D033C">
        <w:rPr>
          <w:rFonts w:ascii="Times New Roman" w:hAnsi="Times New Roman" w:cs="Times New Roman"/>
          <w:sz w:val="18"/>
          <w:szCs w:val="18"/>
        </w:rPr>
        <w:t>непротекания</w:t>
      </w:r>
      <w:proofErr w:type="spellEnd"/>
      <w:r w:rsidR="007D033C">
        <w:rPr>
          <w:rFonts w:ascii="Times New Roman" w:hAnsi="Times New Roman" w:cs="Times New Roman"/>
          <w:sz w:val="18"/>
          <w:szCs w:val="18"/>
        </w:rPr>
        <w:t xml:space="preserve">, были установлены на верхнюю, переднюю и заднюю поверхности. Граничные условия типа стена – </w:t>
      </w:r>
      <w:proofErr w:type="spellStart"/>
      <w:r w:rsidR="007D033C">
        <w:rPr>
          <w:rFonts w:ascii="Times New Roman" w:hAnsi="Times New Roman" w:cs="Times New Roman"/>
          <w:sz w:val="18"/>
          <w:szCs w:val="18"/>
        </w:rPr>
        <w:t>непротекания</w:t>
      </w:r>
      <w:proofErr w:type="spellEnd"/>
      <w:r w:rsidR="007D033C">
        <w:rPr>
          <w:rFonts w:ascii="Times New Roman" w:hAnsi="Times New Roman" w:cs="Times New Roman"/>
          <w:sz w:val="18"/>
          <w:szCs w:val="18"/>
        </w:rPr>
        <w:t xml:space="preserve"> и прилипания, установлен</w:t>
      </w:r>
      <w:r w:rsidR="005943F5">
        <w:rPr>
          <w:rFonts w:ascii="Times New Roman" w:hAnsi="Times New Roman" w:cs="Times New Roman"/>
          <w:sz w:val="18"/>
          <w:szCs w:val="18"/>
        </w:rPr>
        <w:t>ы</w:t>
      </w:r>
      <w:r w:rsidR="007D033C">
        <w:rPr>
          <w:rFonts w:ascii="Times New Roman" w:hAnsi="Times New Roman" w:cs="Times New Roman"/>
          <w:sz w:val="18"/>
          <w:szCs w:val="18"/>
        </w:rPr>
        <w:t xml:space="preserve"> на нижнюю поверхность (землю) и автомобиль. Граничные условия типа давление на входе, равное 1 </w:t>
      </w:r>
      <w:proofErr w:type="spellStart"/>
      <w:proofErr w:type="gramStart"/>
      <w:r w:rsidR="007D033C">
        <w:rPr>
          <w:rFonts w:ascii="Times New Roman" w:hAnsi="Times New Roman" w:cs="Times New Roman"/>
          <w:sz w:val="18"/>
          <w:szCs w:val="18"/>
        </w:rPr>
        <w:t>атм</w:t>
      </w:r>
      <w:proofErr w:type="spellEnd"/>
      <w:proofErr w:type="gramEnd"/>
      <w:r w:rsidR="007D033C">
        <w:rPr>
          <w:rFonts w:ascii="Times New Roman" w:hAnsi="Times New Roman" w:cs="Times New Roman"/>
          <w:sz w:val="18"/>
          <w:szCs w:val="18"/>
        </w:rPr>
        <w:t xml:space="preserve">, и давление на выходе – </w:t>
      </w:r>
      <w:r w:rsidR="005943F5">
        <w:rPr>
          <w:rFonts w:ascii="Times New Roman" w:hAnsi="Times New Roman" w:cs="Times New Roman"/>
          <w:sz w:val="18"/>
          <w:szCs w:val="18"/>
        </w:rPr>
        <w:t>0</w:t>
      </w:r>
      <w:r w:rsidR="007D033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7D033C">
        <w:rPr>
          <w:rFonts w:ascii="Times New Roman" w:hAnsi="Times New Roman" w:cs="Times New Roman"/>
          <w:sz w:val="18"/>
          <w:szCs w:val="18"/>
        </w:rPr>
        <w:t>ати</w:t>
      </w:r>
      <w:proofErr w:type="spellEnd"/>
      <w:r w:rsidR="007D033C">
        <w:rPr>
          <w:rFonts w:ascii="Times New Roman" w:hAnsi="Times New Roman" w:cs="Times New Roman"/>
          <w:sz w:val="18"/>
          <w:szCs w:val="18"/>
        </w:rPr>
        <w:t>.</w:t>
      </w:r>
      <w:r w:rsidR="005943F5">
        <w:rPr>
          <w:rFonts w:ascii="Times New Roman" w:hAnsi="Times New Roman" w:cs="Times New Roman"/>
          <w:sz w:val="18"/>
          <w:szCs w:val="18"/>
        </w:rPr>
        <w:t xml:space="preserve"> Направление распространения ударной волны указано стрелкой.</w:t>
      </w:r>
    </w:p>
    <w:p w:rsidR="004939E7" w:rsidRDefault="004939E7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38"/>
        <w:gridCol w:w="4414"/>
      </w:tblGrid>
      <w:tr w:rsidR="00136549" w:rsidTr="007D033C">
        <w:tc>
          <w:tcPr>
            <w:tcW w:w="3738" w:type="dxa"/>
          </w:tcPr>
          <w:p w:rsidR="00136549" w:rsidRDefault="004B7215" w:rsidP="00C102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21.1pt;margin-top:62.25pt;width:17.75pt;height:10.2pt;flip:y;z-index:251658240" o:connectortype="straight" strokecolor="#404040 [2429]">
                  <v:stroke endarrow="block"/>
                </v:shape>
              </w:pict>
            </w:r>
            <w:r w:rsidR="007D033C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1979489" cy="1675181"/>
                  <wp:effectExtent l="19050" t="0" r="1711" b="0"/>
                  <wp:docPr id="9" name="Рисунок 8" descr="расчет область целиком (со сторонами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асчет область целиком (со сторонами)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911" cy="1680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4" w:type="dxa"/>
            <w:vAlign w:val="center"/>
          </w:tcPr>
          <w:p w:rsidR="00136549" w:rsidRDefault="00136549" w:rsidP="00136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094298" cy="1387050"/>
                  <wp:effectExtent l="19050" t="0" r="1202" b="0"/>
                  <wp:docPr id="7" name="Рисунок 2" descr="Расчетная област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асчетная область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262" cy="1387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6549" w:rsidTr="007D033C">
        <w:tc>
          <w:tcPr>
            <w:tcW w:w="3738" w:type="dxa"/>
            <w:vAlign w:val="center"/>
          </w:tcPr>
          <w:p w:rsidR="00136549" w:rsidRPr="00DA08C7" w:rsidRDefault="00136549" w:rsidP="00136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8"/>
              </w:rPr>
              <w:t>Рисунок 2. Расчетная область</w:t>
            </w:r>
          </w:p>
        </w:tc>
        <w:tc>
          <w:tcPr>
            <w:tcW w:w="4414" w:type="dxa"/>
            <w:vAlign w:val="center"/>
          </w:tcPr>
          <w:p w:rsidR="00136549" w:rsidRPr="00DA08C7" w:rsidRDefault="00136549" w:rsidP="009A65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A08C7">
              <w:rPr>
                <w:rFonts w:ascii="Times New Roman" w:hAnsi="Times New Roman" w:cs="Times New Roman"/>
                <w:i/>
                <w:sz w:val="16"/>
                <w:szCs w:val="18"/>
              </w:rPr>
              <w:t xml:space="preserve">Рисунок </w:t>
            </w:r>
            <w:r>
              <w:rPr>
                <w:rFonts w:ascii="Times New Roman" w:hAnsi="Times New Roman" w:cs="Times New Roman"/>
                <w:i/>
                <w:sz w:val="16"/>
                <w:szCs w:val="18"/>
              </w:rPr>
              <w:t>3</w:t>
            </w:r>
            <w:r w:rsidRPr="00DA08C7">
              <w:rPr>
                <w:rFonts w:ascii="Times New Roman" w:hAnsi="Times New Roman" w:cs="Times New Roman"/>
                <w:i/>
                <w:sz w:val="16"/>
                <w:szCs w:val="18"/>
              </w:rPr>
              <w:t xml:space="preserve">. Фрагмент тетраэдрической сетки с </w:t>
            </w:r>
            <w:r w:rsidR="009A65C6">
              <w:rPr>
                <w:rFonts w:ascii="Times New Roman" w:hAnsi="Times New Roman" w:cs="Times New Roman"/>
                <w:i/>
                <w:sz w:val="16"/>
                <w:szCs w:val="18"/>
              </w:rPr>
              <w:t xml:space="preserve">пристеночными </w:t>
            </w:r>
            <w:r w:rsidRPr="00DA08C7">
              <w:rPr>
                <w:rFonts w:ascii="Times New Roman" w:hAnsi="Times New Roman" w:cs="Times New Roman"/>
                <w:i/>
                <w:sz w:val="16"/>
                <w:szCs w:val="18"/>
              </w:rPr>
              <w:t>слоями у твердого тела в сечении</w:t>
            </w:r>
          </w:p>
        </w:tc>
      </w:tr>
    </w:tbl>
    <w:p w:rsidR="005A1F3F" w:rsidRDefault="005A1F3F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</w:p>
    <w:p w:rsidR="007D033C" w:rsidRDefault="007D033C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Т.к. ударная волна моделировалась </w:t>
      </w:r>
      <w:proofErr w:type="gramStart"/>
      <w:r>
        <w:rPr>
          <w:rFonts w:ascii="Times New Roman" w:hAnsi="Times New Roman" w:cs="Times New Roman"/>
          <w:sz w:val="18"/>
          <w:szCs w:val="18"/>
        </w:rPr>
        <w:t>воздушной</w:t>
      </w:r>
      <w:proofErr w:type="gramEnd"/>
      <w:r>
        <w:rPr>
          <w:rFonts w:ascii="Times New Roman" w:hAnsi="Times New Roman" w:cs="Times New Roman"/>
          <w:sz w:val="18"/>
          <w:szCs w:val="18"/>
        </w:rPr>
        <w:t>, то расчетная область заполнялась материалом</w:t>
      </w:r>
      <w:r w:rsidRPr="005A1F3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воздух. В качестве уравнения состояния для воздуха программа использует уравнение идеального газа, температура воздуха 25</w:t>
      </w:r>
      <w:proofErr w:type="gramStart"/>
      <w:r>
        <w:rPr>
          <w:rFonts w:ascii="Times New Roman" w:hAnsi="Times New Roman" w:cs="Times New Roman"/>
          <w:sz w:val="18"/>
          <w:szCs w:val="18"/>
        </w:rPr>
        <w:t>ºС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и давление в 1 атм.</w:t>
      </w:r>
    </w:p>
    <w:p w:rsidR="00DA08C7" w:rsidRDefault="00872A65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Результаты вычисления давления на боковую поверхность кузова-контейнера снимались на каждом шаге, равном 0,0001 с. Общее время расчета составляет 0,5 с. </w:t>
      </w:r>
      <w:r w:rsidR="00FB1003">
        <w:rPr>
          <w:rFonts w:ascii="Times New Roman" w:hAnsi="Times New Roman" w:cs="Times New Roman"/>
          <w:sz w:val="18"/>
          <w:szCs w:val="18"/>
        </w:rPr>
        <w:t>Г</w:t>
      </w:r>
      <w:r>
        <w:rPr>
          <w:rFonts w:ascii="Times New Roman" w:hAnsi="Times New Roman" w:cs="Times New Roman"/>
          <w:sz w:val="18"/>
          <w:szCs w:val="18"/>
        </w:rPr>
        <w:t>рафический результат вычисления давления сохранялся раз в 20 шагов (т</w:t>
      </w:r>
      <w:r w:rsidR="00DC1DCF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>е</w:t>
      </w:r>
      <w:r w:rsidR="00DC1DCF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 xml:space="preserve"> раз в 0,002 с).</w:t>
      </w:r>
    </w:p>
    <w:p w:rsidR="00872A65" w:rsidRDefault="00FB1003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Результаты расчета можно получить в табличном виде, в виде графиков изменения давления на боковую поверхность автомобиля от времени. Также возможно получить качественную картину обтекания конструкции ударной волной (рис. 4).</w:t>
      </w:r>
    </w:p>
    <w:p w:rsidR="00393D8A" w:rsidRDefault="00393D8A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Отметим, что характер изменения давления на боковую поверхность при различной конфигурации кузова-контейнера отличается незначительно. Однако максимальное давление на боковую поверхность при конфигурации кузова-контейнера со скосами меньше, чем максимальное давление на боковую поверхность при конфигурации кузова-контейнера без скосов</w:t>
      </w:r>
      <w:r w:rsidR="002F056D">
        <w:rPr>
          <w:rFonts w:ascii="Times New Roman" w:hAnsi="Times New Roman" w:cs="Times New Roman"/>
          <w:sz w:val="18"/>
          <w:szCs w:val="18"/>
        </w:rPr>
        <w:t xml:space="preserve"> (табл. 1)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2F056D" w:rsidRDefault="002F056D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</w:p>
    <w:p w:rsidR="007A31FD" w:rsidRPr="007A31FD" w:rsidRDefault="007A31FD" w:rsidP="007A31FD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  <w:i/>
          <w:sz w:val="16"/>
          <w:szCs w:val="18"/>
        </w:rPr>
      </w:pPr>
      <w:r w:rsidRPr="007A31FD">
        <w:rPr>
          <w:rFonts w:ascii="Times New Roman" w:hAnsi="Times New Roman" w:cs="Times New Roman"/>
          <w:i/>
          <w:sz w:val="16"/>
          <w:szCs w:val="18"/>
        </w:rPr>
        <w:t>Таблица 1</w:t>
      </w:r>
    </w:p>
    <w:tbl>
      <w:tblPr>
        <w:tblStyle w:val="a5"/>
        <w:tblW w:w="0" w:type="auto"/>
        <w:tblLook w:val="04A0"/>
      </w:tblPr>
      <w:tblGrid>
        <w:gridCol w:w="2693"/>
        <w:gridCol w:w="2693"/>
        <w:gridCol w:w="2693"/>
      </w:tblGrid>
      <w:tr w:rsidR="00140DDF" w:rsidRPr="002F056D" w:rsidTr="002F056D">
        <w:tc>
          <w:tcPr>
            <w:tcW w:w="2693" w:type="dxa"/>
            <w:vAlign w:val="center"/>
          </w:tcPr>
          <w:p w:rsidR="002F056D" w:rsidRPr="002F056D" w:rsidRDefault="00140DDF" w:rsidP="002F0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2F056D">
              <w:rPr>
                <w:rFonts w:ascii="Times New Roman" w:hAnsi="Times New Roman" w:cs="Times New Roman"/>
                <w:b/>
                <w:sz w:val="16"/>
                <w:szCs w:val="18"/>
              </w:rPr>
              <w:t>Конфигурация</w:t>
            </w:r>
          </w:p>
          <w:p w:rsidR="00140DDF" w:rsidRPr="002F056D" w:rsidRDefault="00140DDF" w:rsidP="002F0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2F056D">
              <w:rPr>
                <w:rFonts w:ascii="Times New Roman" w:hAnsi="Times New Roman" w:cs="Times New Roman"/>
                <w:b/>
                <w:sz w:val="16"/>
                <w:szCs w:val="18"/>
              </w:rPr>
              <w:t>кузова-контейнера</w:t>
            </w:r>
          </w:p>
        </w:tc>
        <w:tc>
          <w:tcPr>
            <w:tcW w:w="2693" w:type="dxa"/>
            <w:vAlign w:val="center"/>
          </w:tcPr>
          <w:p w:rsidR="00140DDF" w:rsidRPr="002F056D" w:rsidRDefault="002F056D" w:rsidP="002F05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</w:rPr>
              <w:t>без скосов</w:t>
            </w:r>
          </w:p>
        </w:tc>
        <w:tc>
          <w:tcPr>
            <w:tcW w:w="2693" w:type="dxa"/>
            <w:vAlign w:val="center"/>
          </w:tcPr>
          <w:p w:rsidR="00140DDF" w:rsidRPr="002F056D" w:rsidRDefault="002F056D" w:rsidP="002F05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</w:rPr>
              <w:t>со</w:t>
            </w:r>
            <w:r w:rsidR="00140DDF" w:rsidRPr="002F056D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 скос</w:t>
            </w:r>
            <w:r>
              <w:rPr>
                <w:rFonts w:ascii="Times New Roman" w:hAnsi="Times New Roman" w:cs="Times New Roman"/>
                <w:b/>
                <w:sz w:val="16"/>
                <w:szCs w:val="18"/>
              </w:rPr>
              <w:t>ами</w:t>
            </w:r>
          </w:p>
        </w:tc>
      </w:tr>
      <w:tr w:rsidR="00140DDF" w:rsidRPr="002F056D" w:rsidTr="002F056D">
        <w:tc>
          <w:tcPr>
            <w:tcW w:w="2693" w:type="dxa"/>
            <w:vAlign w:val="center"/>
          </w:tcPr>
          <w:p w:rsidR="00140DDF" w:rsidRPr="002F056D" w:rsidRDefault="004B7215" w:rsidP="002F0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16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16"/>
                        <w:szCs w:val="1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6"/>
                        <w:szCs w:val="18"/>
                      </w:rPr>
                      <m:t>p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8"/>
                      </w:rPr>
                      <m:t>max</m:t>
                    </m:r>
                  </m:sup>
                </m:sSubSup>
                <m:r>
                  <w:rPr>
                    <w:rFonts w:ascii="Cambria Math" w:hAnsi="Cambria Math" w:cs="Times New Roman"/>
                    <w:sz w:val="16"/>
                    <w:szCs w:val="18"/>
                  </w:rPr>
                  <m:t>, c</m:t>
                </m:r>
              </m:oMath>
            </m:oMathPara>
          </w:p>
        </w:tc>
        <w:tc>
          <w:tcPr>
            <w:tcW w:w="2693" w:type="dxa"/>
            <w:vAlign w:val="center"/>
          </w:tcPr>
          <w:p w:rsidR="00140DDF" w:rsidRPr="002F056D" w:rsidRDefault="002F056D" w:rsidP="002F05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2F056D">
              <w:rPr>
                <w:rFonts w:ascii="Times New Roman" w:hAnsi="Times New Roman" w:cs="Times New Roman"/>
                <w:sz w:val="16"/>
                <w:szCs w:val="18"/>
              </w:rPr>
              <w:t>0,05</w:t>
            </w:r>
            <w:r>
              <w:rPr>
                <w:rFonts w:ascii="Times New Roman" w:hAnsi="Times New Roman" w:cs="Times New Roman"/>
                <w:sz w:val="16"/>
                <w:szCs w:val="18"/>
              </w:rPr>
              <w:t>42</w:t>
            </w:r>
          </w:p>
        </w:tc>
        <w:tc>
          <w:tcPr>
            <w:tcW w:w="2693" w:type="dxa"/>
            <w:vAlign w:val="center"/>
          </w:tcPr>
          <w:p w:rsidR="00140DDF" w:rsidRPr="002F056D" w:rsidRDefault="002F056D" w:rsidP="002F05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0,0538</w:t>
            </w:r>
          </w:p>
        </w:tc>
      </w:tr>
      <w:tr w:rsidR="00140DDF" w:rsidRPr="002F056D" w:rsidTr="002F056D">
        <w:tc>
          <w:tcPr>
            <w:tcW w:w="2693" w:type="dxa"/>
            <w:vAlign w:val="center"/>
          </w:tcPr>
          <w:p w:rsidR="00140DDF" w:rsidRPr="002F056D" w:rsidRDefault="004B7215" w:rsidP="00DD16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16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16"/>
                        <w:szCs w:val="1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6"/>
                        <w:szCs w:val="18"/>
                      </w:rPr>
                      <m:t>бок.поверхности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8"/>
                      </w:rPr>
                      <m:t>max</m:t>
                    </m:r>
                  </m:sup>
                </m:sSubSup>
                <m:r>
                  <w:rPr>
                    <w:rFonts w:ascii="Cambria Math" w:hAnsi="Cambria Math" w:cs="Times New Roman"/>
                    <w:sz w:val="16"/>
                    <w:szCs w:val="18"/>
                  </w:rPr>
                  <m:t>, кПа</m:t>
                </m:r>
              </m:oMath>
            </m:oMathPara>
          </w:p>
        </w:tc>
        <w:tc>
          <w:tcPr>
            <w:tcW w:w="2693" w:type="dxa"/>
            <w:vAlign w:val="center"/>
          </w:tcPr>
          <w:p w:rsidR="00140DDF" w:rsidRPr="002F056D" w:rsidRDefault="00DD1688" w:rsidP="002F05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51,543</w:t>
            </w:r>
          </w:p>
        </w:tc>
        <w:tc>
          <w:tcPr>
            <w:tcW w:w="2693" w:type="dxa"/>
            <w:vAlign w:val="center"/>
          </w:tcPr>
          <w:p w:rsidR="00140DDF" w:rsidRPr="002F056D" w:rsidRDefault="00DD1688" w:rsidP="002F05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50,544</w:t>
            </w:r>
          </w:p>
        </w:tc>
      </w:tr>
    </w:tbl>
    <w:p w:rsidR="00140DDF" w:rsidRDefault="00140DDF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</w:p>
    <w:p w:rsidR="007550CB" w:rsidRDefault="007550CB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Отметим, что такой расчет является </w:t>
      </w:r>
      <w:r w:rsidR="00DD1688">
        <w:rPr>
          <w:rFonts w:ascii="Times New Roman" w:hAnsi="Times New Roman" w:cs="Times New Roman"/>
          <w:sz w:val="18"/>
          <w:szCs w:val="18"/>
        </w:rPr>
        <w:t>упрощенным</w:t>
      </w:r>
      <w:r w:rsidR="006E7DC6">
        <w:rPr>
          <w:rFonts w:ascii="Times New Roman" w:hAnsi="Times New Roman" w:cs="Times New Roman"/>
          <w:sz w:val="18"/>
          <w:szCs w:val="18"/>
        </w:rPr>
        <w:t>, однако позволяет определить достоинства и недостатки формы конструкции (в примере, конфигурации кузова-контейнера). Данный способ определения давления на боковую поверхность конструкции от воздействия ударной волны является быстрым и не очень сложным в использовании. Его точность, при правильной постановке задачи, удовлетворяет инженерной.</w:t>
      </w:r>
    </w:p>
    <w:tbl>
      <w:tblPr>
        <w:tblStyle w:val="a5"/>
        <w:tblW w:w="85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"/>
        <w:gridCol w:w="4056"/>
        <w:gridCol w:w="4090"/>
      </w:tblGrid>
      <w:tr w:rsidR="00DA08C7" w:rsidTr="00A71EF6">
        <w:tc>
          <w:tcPr>
            <w:tcW w:w="356" w:type="dxa"/>
            <w:vAlign w:val="bottom"/>
          </w:tcPr>
          <w:p w:rsidR="00DA08C7" w:rsidRPr="00DA08C7" w:rsidRDefault="00DA08C7" w:rsidP="00DA08C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noProof/>
                <w:sz w:val="16"/>
                <w:szCs w:val="18"/>
                <w:lang w:eastAsia="ru-RU"/>
              </w:rPr>
            </w:pPr>
            <w:r w:rsidRPr="00DA08C7">
              <w:rPr>
                <w:rFonts w:ascii="Times New Roman" w:hAnsi="Times New Roman" w:cs="Times New Roman"/>
                <w:b/>
                <w:noProof/>
                <w:sz w:val="16"/>
                <w:szCs w:val="18"/>
                <w:lang w:eastAsia="ru-RU"/>
              </w:rPr>
              <w:lastRenderedPageBreak/>
              <w:t>а)</w:t>
            </w:r>
          </w:p>
        </w:tc>
        <w:tc>
          <w:tcPr>
            <w:tcW w:w="4056" w:type="dxa"/>
          </w:tcPr>
          <w:p w:rsidR="00DA08C7" w:rsidRDefault="00DA08C7" w:rsidP="009B3B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382244" cy="1121479"/>
                  <wp:effectExtent l="19050" t="0" r="0" b="0"/>
                  <wp:docPr id="23" name="Рисунок 5" descr="без скосов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 скосов 1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8061" cy="11242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90" w:type="dxa"/>
          </w:tcPr>
          <w:p w:rsidR="00DA08C7" w:rsidRDefault="00DA08C7" w:rsidP="009B3B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414052" cy="1149534"/>
                  <wp:effectExtent l="19050" t="0" r="5298" b="0"/>
                  <wp:docPr id="24" name="Рисунок 7" descr="со скосами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о скосами 1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0783" cy="1152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08C7" w:rsidTr="00A71EF6">
        <w:tc>
          <w:tcPr>
            <w:tcW w:w="356" w:type="dxa"/>
          </w:tcPr>
          <w:p w:rsidR="00DA08C7" w:rsidRPr="00DA08C7" w:rsidRDefault="00DA08C7" w:rsidP="009B3B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8"/>
                <w:lang w:eastAsia="ru-RU"/>
              </w:rPr>
            </w:pPr>
          </w:p>
        </w:tc>
        <w:tc>
          <w:tcPr>
            <w:tcW w:w="8146" w:type="dxa"/>
            <w:gridSpan w:val="2"/>
          </w:tcPr>
          <w:p w:rsidR="00DA08C7" w:rsidRDefault="00DA08C7" w:rsidP="009B3B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</w:p>
        </w:tc>
      </w:tr>
      <w:tr w:rsidR="00DA08C7" w:rsidTr="00A71EF6">
        <w:tc>
          <w:tcPr>
            <w:tcW w:w="356" w:type="dxa"/>
            <w:vAlign w:val="bottom"/>
          </w:tcPr>
          <w:p w:rsidR="00DA08C7" w:rsidRPr="00DA08C7" w:rsidRDefault="00DA08C7" w:rsidP="00DA08C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noProof/>
                <w:sz w:val="16"/>
                <w:szCs w:val="18"/>
                <w:lang w:eastAsia="ru-RU"/>
              </w:rPr>
            </w:pPr>
            <w:r w:rsidRPr="00DA08C7">
              <w:rPr>
                <w:rFonts w:ascii="Times New Roman" w:hAnsi="Times New Roman" w:cs="Times New Roman"/>
                <w:b/>
                <w:noProof/>
                <w:sz w:val="16"/>
                <w:szCs w:val="18"/>
                <w:lang w:eastAsia="ru-RU"/>
              </w:rPr>
              <w:t>б)</w:t>
            </w:r>
          </w:p>
        </w:tc>
        <w:tc>
          <w:tcPr>
            <w:tcW w:w="4056" w:type="dxa"/>
          </w:tcPr>
          <w:p w:rsidR="00DA08C7" w:rsidRDefault="00DA08C7" w:rsidP="009B3B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412780" cy="1125822"/>
                  <wp:effectExtent l="19050" t="0" r="6570" b="0"/>
                  <wp:docPr id="25" name="Рисунок 8" descr="без скосов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 скосов 2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891" cy="1126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90" w:type="dxa"/>
          </w:tcPr>
          <w:p w:rsidR="00DA08C7" w:rsidRDefault="00DA08C7" w:rsidP="009B3B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416920" cy="1131408"/>
                  <wp:effectExtent l="19050" t="0" r="2430" b="0"/>
                  <wp:docPr id="26" name="Рисунок 9" descr="со скосами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о скосами 2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8232" cy="1132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08C7" w:rsidTr="00A71EF6">
        <w:tc>
          <w:tcPr>
            <w:tcW w:w="356" w:type="dxa"/>
          </w:tcPr>
          <w:p w:rsidR="00DA08C7" w:rsidRPr="00DA08C7" w:rsidRDefault="00DA08C7" w:rsidP="009B3B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16"/>
                <w:szCs w:val="18"/>
                <w:lang w:eastAsia="ru-RU"/>
              </w:rPr>
            </w:pPr>
          </w:p>
        </w:tc>
        <w:tc>
          <w:tcPr>
            <w:tcW w:w="8146" w:type="dxa"/>
            <w:gridSpan w:val="2"/>
          </w:tcPr>
          <w:p w:rsidR="00DA08C7" w:rsidRDefault="00DA08C7" w:rsidP="009B3B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</w:p>
        </w:tc>
      </w:tr>
      <w:tr w:rsidR="00DA08C7" w:rsidTr="00A71EF6">
        <w:tc>
          <w:tcPr>
            <w:tcW w:w="356" w:type="dxa"/>
            <w:vAlign w:val="bottom"/>
          </w:tcPr>
          <w:p w:rsidR="00DA08C7" w:rsidRPr="00DA08C7" w:rsidRDefault="00DA08C7" w:rsidP="00DA08C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noProof/>
                <w:sz w:val="16"/>
                <w:szCs w:val="18"/>
                <w:lang w:eastAsia="ru-RU"/>
              </w:rPr>
            </w:pPr>
            <w:r w:rsidRPr="00DA08C7">
              <w:rPr>
                <w:rFonts w:ascii="Times New Roman" w:hAnsi="Times New Roman" w:cs="Times New Roman"/>
                <w:b/>
                <w:noProof/>
                <w:sz w:val="16"/>
                <w:szCs w:val="18"/>
                <w:lang w:eastAsia="ru-RU"/>
              </w:rPr>
              <w:t>в)</w:t>
            </w:r>
          </w:p>
        </w:tc>
        <w:tc>
          <w:tcPr>
            <w:tcW w:w="4056" w:type="dxa"/>
          </w:tcPr>
          <w:p w:rsidR="00DA08C7" w:rsidRDefault="00DA08C7" w:rsidP="009B3B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419335" cy="1127052"/>
                  <wp:effectExtent l="19050" t="0" r="15" b="0"/>
                  <wp:docPr id="27" name="Рисунок 20" descr="без скосов 0,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 скосов 0,012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0610" cy="1127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90" w:type="dxa"/>
          </w:tcPr>
          <w:p w:rsidR="00DA08C7" w:rsidRDefault="00DA08C7" w:rsidP="009B3B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440460" cy="1127052"/>
                  <wp:effectExtent l="19050" t="0" r="0" b="0"/>
                  <wp:docPr id="28" name="Рисунок 21" descr="со скосами 0,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о скосами 0,012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6521" cy="1129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1EF6" w:rsidTr="00A71EF6">
        <w:tc>
          <w:tcPr>
            <w:tcW w:w="8502" w:type="dxa"/>
            <w:gridSpan w:val="3"/>
          </w:tcPr>
          <w:p w:rsidR="00A71EF6" w:rsidRPr="00DA08C7" w:rsidRDefault="00A71EF6" w:rsidP="00DA0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noProof/>
                <w:sz w:val="16"/>
                <w:szCs w:val="18"/>
                <w:lang w:eastAsia="ru-RU"/>
              </w:rPr>
            </w:pPr>
            <w:r w:rsidRPr="00DA08C7">
              <w:rPr>
                <w:rFonts w:ascii="Times New Roman" w:hAnsi="Times New Roman" w:cs="Times New Roman"/>
                <w:i/>
                <w:noProof/>
                <w:sz w:val="16"/>
                <w:szCs w:val="18"/>
                <w:lang w:eastAsia="ru-RU"/>
              </w:rPr>
              <w:t xml:space="preserve">Рисунок </w:t>
            </w:r>
            <w:r>
              <w:rPr>
                <w:rFonts w:ascii="Times New Roman" w:hAnsi="Times New Roman" w:cs="Times New Roman"/>
                <w:i/>
                <w:noProof/>
                <w:sz w:val="16"/>
                <w:szCs w:val="18"/>
                <w:lang w:eastAsia="ru-RU"/>
              </w:rPr>
              <w:t>4</w:t>
            </w:r>
            <w:r w:rsidRPr="00DA08C7">
              <w:rPr>
                <w:rFonts w:ascii="Times New Roman" w:hAnsi="Times New Roman" w:cs="Times New Roman"/>
                <w:i/>
                <w:noProof/>
                <w:sz w:val="16"/>
                <w:szCs w:val="18"/>
                <w:lang w:eastAsia="ru-RU"/>
              </w:rPr>
              <w:t>. Изменение давления ударной волны на различных этапах расчета</w:t>
            </w:r>
          </w:p>
          <w:p w:rsidR="00A71EF6" w:rsidRDefault="00A71EF6" w:rsidP="00DA08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DA08C7">
              <w:rPr>
                <w:rFonts w:ascii="Times New Roman" w:hAnsi="Times New Roman" w:cs="Times New Roman"/>
                <w:i/>
                <w:noProof/>
                <w:sz w:val="16"/>
                <w:szCs w:val="18"/>
                <w:lang w:eastAsia="ru-RU"/>
              </w:rPr>
              <w:t>а) 0,012 с, б) 0,024 с, в) 0,054 с</w:t>
            </w:r>
          </w:p>
        </w:tc>
      </w:tr>
    </w:tbl>
    <w:p w:rsidR="00082E22" w:rsidRDefault="00082E22" w:rsidP="009B3B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</w:p>
    <w:p w:rsidR="006E7DC6" w:rsidRPr="006E7DC6" w:rsidRDefault="006E7DC6" w:rsidP="006E7DC6">
      <w:pPr>
        <w:tabs>
          <w:tab w:val="left" w:pos="30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6"/>
        </w:rPr>
      </w:pPr>
      <w:r w:rsidRPr="006E7DC6">
        <w:rPr>
          <w:rFonts w:ascii="Times New Roman" w:hAnsi="Times New Roman" w:cs="Times New Roman"/>
          <w:sz w:val="18"/>
          <w:szCs w:val="16"/>
        </w:rPr>
        <w:t>Используя данные, полученные ранее при проведен</w:t>
      </w:r>
      <w:proofErr w:type="gramStart"/>
      <w:r w:rsidRPr="006E7DC6">
        <w:rPr>
          <w:rFonts w:ascii="Times New Roman" w:hAnsi="Times New Roman" w:cs="Times New Roman"/>
          <w:sz w:val="18"/>
          <w:szCs w:val="16"/>
        </w:rPr>
        <w:t>ии аэ</w:t>
      </w:r>
      <w:proofErr w:type="gramEnd"/>
      <w:r w:rsidRPr="006E7DC6">
        <w:rPr>
          <w:rFonts w:ascii="Times New Roman" w:hAnsi="Times New Roman" w:cs="Times New Roman"/>
          <w:sz w:val="18"/>
          <w:szCs w:val="16"/>
        </w:rPr>
        <w:t xml:space="preserve">родинамического расчета, можно провести расчет динамики конструкции. Если в процессе воздействия конструкция совершает существенные перемещения (особенно угловые), следует проверить необходимость учета обратного влияния этих перемещений на аэродинамические силы и моменты. Если под конструкцией или в конструкции имеется полость, частично изолированная от внешней среды, изменение давления в которой может повлиять на динамику, для оценки давления в ней можно использовать </w:t>
      </w:r>
      <w:proofErr w:type="spellStart"/>
      <w:r w:rsidRPr="006E7DC6">
        <w:rPr>
          <w:rFonts w:ascii="Times New Roman" w:hAnsi="Times New Roman" w:cs="Times New Roman"/>
          <w:sz w:val="18"/>
          <w:szCs w:val="16"/>
        </w:rPr>
        <w:t>нульмерные</w:t>
      </w:r>
      <w:proofErr w:type="spellEnd"/>
      <w:r w:rsidRPr="006E7DC6">
        <w:rPr>
          <w:rFonts w:ascii="Times New Roman" w:hAnsi="Times New Roman" w:cs="Times New Roman"/>
          <w:sz w:val="18"/>
          <w:szCs w:val="16"/>
        </w:rPr>
        <w:t xml:space="preserve"> уравнения термодинамики (законы изменения массы и энергии) в сочетании с соотношениями для установившегося истечения воздуха через отверстия и зазоры</w:t>
      </w:r>
      <w:r>
        <w:rPr>
          <w:rFonts w:ascii="Times New Roman" w:hAnsi="Times New Roman" w:cs="Times New Roman"/>
          <w:sz w:val="18"/>
          <w:szCs w:val="16"/>
        </w:rPr>
        <w:t xml:space="preserve"> </w:t>
      </w:r>
      <w:r w:rsidRPr="006E7DC6">
        <w:rPr>
          <w:rFonts w:ascii="Times New Roman" w:hAnsi="Times New Roman" w:cs="Times New Roman"/>
          <w:sz w:val="18"/>
          <w:szCs w:val="16"/>
        </w:rPr>
        <w:t xml:space="preserve">[2]. </w:t>
      </w:r>
    </w:p>
    <w:p w:rsidR="006E7DC6" w:rsidRDefault="002F056D" w:rsidP="006E7DC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Можно заключить, что и</w:t>
      </w:r>
      <w:r w:rsidR="00AB2979" w:rsidRPr="00B85BEA">
        <w:rPr>
          <w:rFonts w:ascii="Times New Roman" w:hAnsi="Times New Roman" w:cs="Times New Roman"/>
          <w:sz w:val="18"/>
          <w:szCs w:val="18"/>
        </w:rPr>
        <w:t xml:space="preserve">сследование динамики гибких конструкций при взрывном воздействии в большинстве случаев можно проводить по результатам аэродинамического расчета – полям </w:t>
      </w:r>
      <w:r w:rsidR="00AB2979">
        <w:rPr>
          <w:rFonts w:ascii="Times New Roman" w:hAnsi="Times New Roman" w:cs="Times New Roman"/>
          <w:sz w:val="18"/>
          <w:szCs w:val="18"/>
        </w:rPr>
        <w:t>давлений на поверхностях, либо значениям интегральных нагрузок (сил и моментов), действующих на эти поверхности. Для оценки общего характера движения перед полноценным расчетом динамики целесообразно провести «прикидочный» расчет простой модели (рассматривать конструкцию, как одно или несколько твердых тел).</w:t>
      </w:r>
      <w:r w:rsidR="003D0BDC">
        <w:rPr>
          <w:rFonts w:ascii="Times New Roman" w:hAnsi="Times New Roman" w:cs="Times New Roman"/>
          <w:sz w:val="18"/>
          <w:szCs w:val="18"/>
        </w:rPr>
        <w:t xml:space="preserve"> Анализ</w:t>
      </w:r>
      <w:r w:rsidR="00AE1B92">
        <w:rPr>
          <w:rFonts w:ascii="Times New Roman" w:hAnsi="Times New Roman" w:cs="Times New Roman"/>
          <w:sz w:val="18"/>
          <w:szCs w:val="18"/>
        </w:rPr>
        <w:t xml:space="preserve"> результата исследования зависимости давления на боковую поверхность кузова-контейнера различной конфигурации</w:t>
      </w:r>
      <w:r w:rsidR="003D0BDC">
        <w:rPr>
          <w:rFonts w:ascii="Times New Roman" w:hAnsi="Times New Roman" w:cs="Times New Roman"/>
          <w:sz w:val="18"/>
          <w:szCs w:val="18"/>
        </w:rPr>
        <w:t xml:space="preserve"> показывает, что для того, чтобы обезопасить подобные конструкции, они должны иметь </w:t>
      </w:r>
      <w:proofErr w:type="spellStart"/>
      <w:r w:rsidR="003D0BDC">
        <w:rPr>
          <w:rFonts w:ascii="Times New Roman" w:hAnsi="Times New Roman" w:cs="Times New Roman"/>
          <w:sz w:val="18"/>
          <w:szCs w:val="18"/>
        </w:rPr>
        <w:t>аэродинамически</w:t>
      </w:r>
      <w:proofErr w:type="spellEnd"/>
      <w:r w:rsidR="003D0BDC">
        <w:rPr>
          <w:rFonts w:ascii="Times New Roman" w:hAnsi="Times New Roman" w:cs="Times New Roman"/>
          <w:sz w:val="18"/>
          <w:szCs w:val="18"/>
        </w:rPr>
        <w:t xml:space="preserve"> обтекаемую форму.</w:t>
      </w:r>
    </w:p>
    <w:p w:rsidR="006E7DC6" w:rsidRPr="006E7DC6" w:rsidRDefault="006E7DC6" w:rsidP="006E7DC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</w:p>
    <w:p w:rsidR="005A1F3F" w:rsidRPr="006E7DC6" w:rsidRDefault="006E7DC6" w:rsidP="006E7DC6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6E7DC6">
        <w:rPr>
          <w:rFonts w:ascii="Times New Roman" w:hAnsi="Times New Roman" w:cs="Times New Roman"/>
          <w:b/>
          <w:sz w:val="18"/>
          <w:szCs w:val="18"/>
        </w:rPr>
        <w:t>Б</w:t>
      </w:r>
      <w:r w:rsidR="005A1F3F" w:rsidRPr="006E7DC6">
        <w:rPr>
          <w:rFonts w:ascii="Times New Roman" w:hAnsi="Times New Roman" w:cs="Times New Roman"/>
          <w:b/>
          <w:sz w:val="16"/>
          <w:szCs w:val="16"/>
        </w:rPr>
        <w:t>иблиографический список</w:t>
      </w:r>
    </w:p>
    <w:p w:rsidR="005A1F3F" w:rsidRDefault="00FE798C" w:rsidP="003F1ABC">
      <w:pPr>
        <w:pStyle w:val="a8"/>
        <w:numPr>
          <w:ilvl w:val="0"/>
          <w:numId w:val="1"/>
        </w:numPr>
        <w:ind w:left="142" w:hanging="142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Барштейн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М.Ф., </w:t>
      </w:r>
      <w:proofErr w:type="spellStart"/>
      <w:r>
        <w:rPr>
          <w:rFonts w:ascii="Times New Roman" w:hAnsi="Times New Roman" w:cs="Times New Roman"/>
          <w:sz w:val="16"/>
          <w:szCs w:val="16"/>
        </w:rPr>
        <w:t>Бородачев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Н.М., Блюмина Л.Х. Динамический расчет сооружений на специальные воздействия. М.: </w:t>
      </w:r>
      <w:proofErr w:type="spellStart"/>
      <w:r>
        <w:rPr>
          <w:rFonts w:ascii="Times New Roman" w:hAnsi="Times New Roman" w:cs="Times New Roman"/>
          <w:sz w:val="16"/>
          <w:szCs w:val="16"/>
        </w:rPr>
        <w:t>Стойиздат</w:t>
      </w:r>
      <w:proofErr w:type="spellEnd"/>
      <w:r>
        <w:rPr>
          <w:rFonts w:ascii="Times New Roman" w:hAnsi="Times New Roman" w:cs="Times New Roman"/>
          <w:sz w:val="16"/>
          <w:szCs w:val="16"/>
        </w:rPr>
        <w:t>, 1981. 215 с</w:t>
      </w:r>
    </w:p>
    <w:p w:rsidR="00FE798C" w:rsidRPr="00136549" w:rsidRDefault="00FE798C" w:rsidP="003F1ABC">
      <w:pPr>
        <w:pStyle w:val="a8"/>
        <w:numPr>
          <w:ilvl w:val="0"/>
          <w:numId w:val="1"/>
        </w:numPr>
        <w:ind w:left="142" w:hanging="14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Попов Н.Н., Расторгуев Б.С., Забегаев А.В. Расчет конструкций на динамические и специальные нагрузки. М.: </w:t>
      </w:r>
      <w:proofErr w:type="spellStart"/>
      <w:r>
        <w:rPr>
          <w:rFonts w:ascii="Times New Roman" w:hAnsi="Times New Roman" w:cs="Times New Roman"/>
          <w:sz w:val="16"/>
          <w:szCs w:val="16"/>
        </w:rPr>
        <w:t>Высш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. </w:t>
      </w:r>
      <w:proofErr w:type="spellStart"/>
      <w:r>
        <w:rPr>
          <w:rFonts w:ascii="Times New Roman" w:hAnsi="Times New Roman" w:cs="Times New Roman"/>
          <w:sz w:val="16"/>
          <w:szCs w:val="16"/>
        </w:rPr>
        <w:t>шк</w:t>
      </w:r>
      <w:proofErr w:type="spellEnd"/>
      <w:r>
        <w:rPr>
          <w:rFonts w:ascii="Times New Roman" w:hAnsi="Times New Roman" w:cs="Times New Roman"/>
          <w:sz w:val="16"/>
          <w:szCs w:val="16"/>
        </w:rPr>
        <w:t>., 1992. 319 с.</w:t>
      </w:r>
    </w:p>
    <w:p w:rsidR="00136549" w:rsidRPr="005A1F3F" w:rsidRDefault="004939E7" w:rsidP="003F1ABC">
      <w:pPr>
        <w:pStyle w:val="a8"/>
        <w:numPr>
          <w:ilvl w:val="0"/>
          <w:numId w:val="1"/>
        </w:numPr>
        <w:ind w:left="142" w:hanging="142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Муйземнек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А.Ю. Богач А.А. Математическое моделирование процессов удара и взрыва в программе </w:t>
      </w:r>
      <w:r>
        <w:rPr>
          <w:rFonts w:ascii="Times New Roman" w:hAnsi="Times New Roman" w:cs="Times New Roman"/>
          <w:sz w:val="16"/>
          <w:szCs w:val="16"/>
          <w:lang w:val="en-US"/>
        </w:rPr>
        <w:t>LS</w:t>
      </w:r>
      <w:r w:rsidRPr="004939E7">
        <w:rPr>
          <w:rFonts w:ascii="Times New Roman" w:hAnsi="Times New Roman" w:cs="Times New Roman"/>
          <w:sz w:val="16"/>
          <w:szCs w:val="16"/>
        </w:rPr>
        <w:t>-</w:t>
      </w:r>
      <w:r>
        <w:rPr>
          <w:rFonts w:ascii="Times New Roman" w:hAnsi="Times New Roman" w:cs="Times New Roman"/>
          <w:sz w:val="16"/>
          <w:szCs w:val="16"/>
          <w:lang w:val="en-US"/>
        </w:rPr>
        <w:t>DYNA</w:t>
      </w:r>
      <w:r w:rsidRPr="004939E7">
        <w:rPr>
          <w:rFonts w:ascii="Times New Roman" w:hAnsi="Times New Roman" w:cs="Times New Roman"/>
          <w:sz w:val="16"/>
          <w:szCs w:val="16"/>
        </w:rPr>
        <w:t>.</w:t>
      </w:r>
      <w:r>
        <w:rPr>
          <w:rFonts w:ascii="Times New Roman" w:hAnsi="Times New Roman" w:cs="Times New Roman"/>
          <w:sz w:val="16"/>
          <w:szCs w:val="16"/>
        </w:rPr>
        <w:t xml:space="preserve"> Пенза: Информационно-издательский центр ПГУ, 2005. 106 </w:t>
      </w:r>
      <w:proofErr w:type="gramStart"/>
      <w:r>
        <w:rPr>
          <w:rFonts w:ascii="Times New Roman" w:hAnsi="Times New Roman" w:cs="Times New Roman"/>
          <w:sz w:val="16"/>
          <w:szCs w:val="16"/>
        </w:rPr>
        <w:t>с</w:t>
      </w:r>
      <w:proofErr w:type="gramEnd"/>
      <w:r>
        <w:rPr>
          <w:rFonts w:ascii="Times New Roman" w:hAnsi="Times New Roman" w:cs="Times New Roman"/>
          <w:sz w:val="16"/>
          <w:szCs w:val="16"/>
        </w:rPr>
        <w:t>.</w:t>
      </w:r>
    </w:p>
    <w:sectPr w:rsidR="00136549" w:rsidRPr="005A1F3F" w:rsidSect="00F844E4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71619"/>
    <w:multiLevelType w:val="hybridMultilevel"/>
    <w:tmpl w:val="A2C29DAA"/>
    <w:lvl w:ilvl="0" w:tplc="5F00E640">
      <w:start w:val="1"/>
      <w:numFmt w:val="decimal"/>
      <w:lvlText w:val="%1."/>
      <w:lvlJc w:val="left"/>
      <w:pPr>
        <w:tabs>
          <w:tab w:val="num" w:pos="504"/>
        </w:tabs>
        <w:ind w:left="504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E94870"/>
    <w:multiLevelType w:val="hybridMultilevel"/>
    <w:tmpl w:val="AFC825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44E4"/>
    <w:rsid w:val="00034623"/>
    <w:rsid w:val="00081D1A"/>
    <w:rsid w:val="00082E22"/>
    <w:rsid w:val="00097439"/>
    <w:rsid w:val="00136549"/>
    <w:rsid w:val="00140DDF"/>
    <w:rsid w:val="0019306B"/>
    <w:rsid w:val="001E71E4"/>
    <w:rsid w:val="002005B5"/>
    <w:rsid w:val="002F056D"/>
    <w:rsid w:val="00381DF3"/>
    <w:rsid w:val="00393D8A"/>
    <w:rsid w:val="003A322A"/>
    <w:rsid w:val="003C111B"/>
    <w:rsid w:val="003D0BDC"/>
    <w:rsid w:val="003F1ABC"/>
    <w:rsid w:val="00416013"/>
    <w:rsid w:val="00450AC7"/>
    <w:rsid w:val="004939E7"/>
    <w:rsid w:val="004A438A"/>
    <w:rsid w:val="004B7215"/>
    <w:rsid w:val="004D6AAA"/>
    <w:rsid w:val="004F0475"/>
    <w:rsid w:val="00525830"/>
    <w:rsid w:val="005943F5"/>
    <w:rsid w:val="005A1F3F"/>
    <w:rsid w:val="005B34E1"/>
    <w:rsid w:val="0069505D"/>
    <w:rsid w:val="006B47D1"/>
    <w:rsid w:val="006C658A"/>
    <w:rsid w:val="006E7DC6"/>
    <w:rsid w:val="0070219F"/>
    <w:rsid w:val="007550CB"/>
    <w:rsid w:val="007A31FD"/>
    <w:rsid w:val="007D033C"/>
    <w:rsid w:val="00814C04"/>
    <w:rsid w:val="00834F40"/>
    <w:rsid w:val="00872A65"/>
    <w:rsid w:val="00880A76"/>
    <w:rsid w:val="009A65C6"/>
    <w:rsid w:val="009B3BA2"/>
    <w:rsid w:val="009B5791"/>
    <w:rsid w:val="009B7C4E"/>
    <w:rsid w:val="00A114BA"/>
    <w:rsid w:val="00A37FE1"/>
    <w:rsid w:val="00A624E2"/>
    <w:rsid w:val="00A71EF6"/>
    <w:rsid w:val="00A813AB"/>
    <w:rsid w:val="00AB2979"/>
    <w:rsid w:val="00AE1B92"/>
    <w:rsid w:val="00B0732F"/>
    <w:rsid w:val="00C1023B"/>
    <w:rsid w:val="00C2015B"/>
    <w:rsid w:val="00C2341D"/>
    <w:rsid w:val="00C76339"/>
    <w:rsid w:val="00CA3139"/>
    <w:rsid w:val="00DA08C7"/>
    <w:rsid w:val="00DB6E4F"/>
    <w:rsid w:val="00DC1DCF"/>
    <w:rsid w:val="00DD1688"/>
    <w:rsid w:val="00DE7B27"/>
    <w:rsid w:val="00E27FEA"/>
    <w:rsid w:val="00E42943"/>
    <w:rsid w:val="00EB76CA"/>
    <w:rsid w:val="00EC53A4"/>
    <w:rsid w:val="00EE471D"/>
    <w:rsid w:val="00F844E4"/>
    <w:rsid w:val="00FB1003"/>
    <w:rsid w:val="00FE7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 [2429]"/>
    </o:shapedefaults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05D"/>
  </w:style>
  <w:style w:type="paragraph" w:styleId="1">
    <w:name w:val="heading 1"/>
    <w:basedOn w:val="a"/>
    <w:next w:val="a"/>
    <w:link w:val="10"/>
    <w:uiPriority w:val="9"/>
    <w:qFormat/>
    <w:rsid w:val="005A1F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E7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E71E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C234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23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34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A1F3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5A1F3F"/>
    <w:pPr>
      <w:ind w:left="720"/>
      <w:contextualSpacing/>
    </w:pPr>
  </w:style>
  <w:style w:type="character" w:styleId="a9">
    <w:name w:val="Placeholder Text"/>
    <w:basedOn w:val="a0"/>
    <w:uiPriority w:val="99"/>
    <w:semiHidden/>
    <w:rsid w:val="007A31F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3529</TotalTime>
  <Pages>3</Pages>
  <Words>1222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"Машиностроительный завод "Арсенал"</Company>
  <LinksUpToDate>false</LinksUpToDate>
  <CharactersWithSpaces>8177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Екатерина Александровна</dc:creator>
  <cp:keywords/>
  <dc:description/>
  <cp:lastModifiedBy>Катерина</cp:lastModifiedBy>
  <cp:revision>36</cp:revision>
  <dcterms:created xsi:type="dcterms:W3CDTF">2018-03-27T11:28:00Z</dcterms:created>
  <dcterms:modified xsi:type="dcterms:W3CDTF">2018-04-18T20:31:00Z</dcterms:modified>
</cp:coreProperties>
</file>